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E957" w14:textId="77777777" w:rsidR="00FC7CD9" w:rsidRDefault="001A72C2" w:rsidP="00FC7CD9">
      <w:pPr>
        <w:ind w:left="284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1 do ZO</w:t>
      </w:r>
    </w:p>
    <w:p w14:paraId="6F8177E2" w14:textId="77777777" w:rsidR="00FC7CD9" w:rsidRDefault="00FC7CD9" w:rsidP="00FC7CD9">
      <w:pPr>
        <w:ind w:left="284"/>
        <w:jc w:val="right"/>
        <w:rPr>
          <w:rFonts w:ascii="Calibri" w:hAnsi="Calibri"/>
          <w:b/>
        </w:rPr>
      </w:pPr>
    </w:p>
    <w:p w14:paraId="54E10BAA" w14:textId="77777777" w:rsidR="00FC7CD9" w:rsidRDefault="00FC7CD9" w:rsidP="00FC7CD9">
      <w:pPr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OPIS PRZEDMIOTU ZAMÓWIENIA </w:t>
      </w:r>
    </w:p>
    <w:p w14:paraId="58896E9E" w14:textId="77777777" w:rsidR="00FC7CD9" w:rsidRDefault="00FC7CD9" w:rsidP="00FC7CD9">
      <w:pPr>
        <w:ind w:left="28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2B6598E3" w14:textId="77777777" w:rsidR="00FC7CD9" w:rsidRDefault="00FC7CD9" w:rsidP="00FC7CD9">
      <w:pPr>
        <w:ind w:left="284"/>
        <w:jc w:val="center"/>
        <w:rPr>
          <w:rFonts w:ascii="Calibri" w:hAnsi="Calibri"/>
          <w:b/>
        </w:rPr>
      </w:pPr>
    </w:p>
    <w:p w14:paraId="73A70F1C" w14:textId="77777777" w:rsidR="00FC7CD9" w:rsidRPr="00C6733F" w:rsidRDefault="00FC7CD9" w:rsidP="00FC7CD9">
      <w:pPr>
        <w:jc w:val="both"/>
        <w:rPr>
          <w:rFonts w:ascii="Calibri" w:hAnsi="Calibri"/>
          <w:b/>
        </w:rPr>
      </w:pPr>
      <w:r w:rsidRPr="00C6733F">
        <w:rPr>
          <w:rFonts w:ascii="Calibri" w:hAnsi="Calibri"/>
          <w:b/>
        </w:rPr>
        <w:t xml:space="preserve">Przedmiotem zamówienia jest </w:t>
      </w:r>
      <w:r w:rsidRPr="00FC7CD9">
        <w:rPr>
          <w:rFonts w:ascii="Calibri" w:hAnsi="Calibri"/>
          <w:b/>
        </w:rPr>
        <w:t>systematyczna dostawa prasy</w:t>
      </w:r>
      <w:r>
        <w:rPr>
          <w:rFonts w:ascii="Calibri" w:hAnsi="Calibri"/>
          <w:b/>
        </w:rPr>
        <w:t xml:space="preserve"> krajowej i zagranicznej</w:t>
      </w:r>
      <w:r w:rsidRPr="00FC7CD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br/>
      </w:r>
      <w:r w:rsidRPr="00FC7CD9">
        <w:rPr>
          <w:rFonts w:ascii="Calibri" w:hAnsi="Calibri"/>
          <w:b/>
        </w:rPr>
        <w:t>w wersji papierowej i elektronicznej na</w:t>
      </w:r>
      <w:r>
        <w:rPr>
          <w:rFonts w:ascii="Calibri" w:hAnsi="Calibri"/>
          <w:b/>
        </w:rPr>
        <w:t xml:space="preserve"> rok</w:t>
      </w:r>
      <w:r w:rsidRPr="00FC7CD9">
        <w:rPr>
          <w:rFonts w:ascii="Calibri" w:hAnsi="Calibri"/>
          <w:b/>
        </w:rPr>
        <w:t xml:space="preserve"> 2018 r.</w:t>
      </w:r>
    </w:p>
    <w:p w14:paraId="6AFB8C6C" w14:textId="77777777" w:rsidR="00FC7CD9" w:rsidRDefault="00FC7CD9" w:rsidP="00FC7CD9">
      <w:pPr>
        <w:jc w:val="both"/>
        <w:rPr>
          <w:rFonts w:ascii="Calibri" w:hAnsi="Calibri"/>
        </w:rPr>
      </w:pPr>
    </w:p>
    <w:p w14:paraId="4F46F0C3" w14:textId="77777777" w:rsidR="00FC7CD9" w:rsidRPr="00502021" w:rsidRDefault="00502021" w:rsidP="0050202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I. </w:t>
      </w:r>
      <w:r w:rsidR="00FC7CD9" w:rsidRPr="00502021">
        <w:rPr>
          <w:rFonts w:ascii="Calibri" w:hAnsi="Calibri"/>
          <w:b/>
        </w:rPr>
        <w:t>Część I -</w:t>
      </w:r>
      <w:r w:rsidR="00FC7CD9" w:rsidRPr="00502021">
        <w:rPr>
          <w:rFonts w:ascii="Calibri" w:hAnsi="Calibri"/>
        </w:rPr>
        <w:t xml:space="preserve"> </w:t>
      </w:r>
      <w:r w:rsidR="00FC7CD9" w:rsidRPr="00502021">
        <w:rPr>
          <w:rFonts w:ascii="Calibri" w:hAnsi="Calibri"/>
          <w:b/>
        </w:rPr>
        <w:t>Warunki realizacji i dostawy prasy krajowej i zagranicznej w wersji papierowej.</w:t>
      </w:r>
    </w:p>
    <w:p w14:paraId="6F8F4779" w14:textId="77777777" w:rsidR="00D53D70" w:rsidRDefault="00176296" w:rsidP="00FC7CD9"/>
    <w:p w14:paraId="66B5D69B" w14:textId="77777777" w:rsidR="001E2E9B" w:rsidRDefault="001E2E9B" w:rsidP="001E2E9B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00176630">
        <w:rPr>
          <w:rFonts w:ascii="Calibri" w:hAnsi="Calibri"/>
        </w:rPr>
        <w:t>Przedmiotem zamówienia jest s</w:t>
      </w:r>
      <w:r>
        <w:rPr>
          <w:rFonts w:ascii="Calibri" w:hAnsi="Calibri"/>
        </w:rPr>
        <w:t>ukcesywna</w:t>
      </w:r>
      <w:r w:rsidRPr="00176630">
        <w:rPr>
          <w:rFonts w:ascii="Calibri" w:hAnsi="Calibri"/>
        </w:rPr>
        <w:t xml:space="preserve"> dostawa dla </w:t>
      </w:r>
      <w:r w:rsidR="007E008F">
        <w:rPr>
          <w:rFonts w:ascii="Calibri" w:hAnsi="Calibri"/>
        </w:rPr>
        <w:t xml:space="preserve">Urzędu Transportu Kolejowego, </w:t>
      </w:r>
      <w:r w:rsidR="008E45D3">
        <w:rPr>
          <w:rFonts w:ascii="Calibri" w:hAnsi="Calibri"/>
        </w:rPr>
        <w:t xml:space="preserve">zwanego </w:t>
      </w:r>
      <w:r w:rsidR="007E008F">
        <w:rPr>
          <w:rFonts w:ascii="Calibri" w:hAnsi="Calibri"/>
        </w:rPr>
        <w:t>dalej Zamawiający</w:t>
      </w:r>
      <w:r w:rsidR="008E45D3">
        <w:rPr>
          <w:rFonts w:ascii="Calibri" w:hAnsi="Calibri"/>
        </w:rPr>
        <w:t>m</w:t>
      </w:r>
      <w:r w:rsidR="007E008F">
        <w:rPr>
          <w:rFonts w:ascii="Calibri" w:hAnsi="Calibri"/>
        </w:rPr>
        <w:t>,</w:t>
      </w:r>
      <w:r w:rsidRPr="00176630">
        <w:rPr>
          <w:rFonts w:ascii="Calibri" w:hAnsi="Calibri"/>
        </w:rPr>
        <w:t xml:space="preserve"> przez Wykonawcę prasy drukowanej krajowej i zagranicznej</w:t>
      </w:r>
      <w:r>
        <w:rPr>
          <w:rFonts w:ascii="Calibri" w:hAnsi="Calibri"/>
        </w:rPr>
        <w:t>.</w:t>
      </w:r>
    </w:p>
    <w:p w14:paraId="68F6D6A4" w14:textId="77777777" w:rsidR="001E2E9B" w:rsidRPr="00176630" w:rsidRDefault="001E2E9B" w:rsidP="001E2E9B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00176630">
        <w:rPr>
          <w:rFonts w:ascii="Calibri" w:hAnsi="Calibri"/>
        </w:rPr>
        <w:t xml:space="preserve">Prasa będzie dostarczana do </w:t>
      </w:r>
      <w:r>
        <w:rPr>
          <w:rFonts w:ascii="Calibri" w:hAnsi="Calibri"/>
        </w:rPr>
        <w:t xml:space="preserve">siedzib Zamawiającego znajdujących się w poniższych lokalizacjach: </w:t>
      </w:r>
    </w:p>
    <w:p w14:paraId="609545B7" w14:textId="77777777" w:rsidR="001E2E9B" w:rsidRPr="007938DA" w:rsidRDefault="001E2E9B" w:rsidP="001E2E9B">
      <w:pPr>
        <w:pStyle w:val="Akapitzlist"/>
        <w:numPr>
          <w:ilvl w:val="2"/>
          <w:numId w:val="7"/>
        </w:numPr>
        <w:jc w:val="both"/>
        <w:rPr>
          <w:rFonts w:ascii="Calibri" w:hAnsi="Calibri"/>
          <w:i/>
        </w:rPr>
      </w:pPr>
      <w:r w:rsidRPr="007938DA">
        <w:rPr>
          <w:rFonts w:ascii="Calibri" w:hAnsi="Calibri"/>
          <w:i/>
        </w:rPr>
        <w:t>Al. Jerozolimskie 134, 02-305 Warszawa</w:t>
      </w:r>
      <w:r w:rsidR="00AD580A" w:rsidRPr="007938DA">
        <w:rPr>
          <w:rFonts w:ascii="Calibri" w:hAnsi="Calibri"/>
          <w:i/>
        </w:rPr>
        <w:t>;</w:t>
      </w:r>
    </w:p>
    <w:p w14:paraId="59A06C26" w14:textId="77777777" w:rsidR="001E2E9B" w:rsidRDefault="001E2E9B" w:rsidP="001E2E9B">
      <w:pPr>
        <w:pStyle w:val="Akapitzlist"/>
        <w:numPr>
          <w:ilvl w:val="2"/>
          <w:numId w:val="7"/>
        </w:numPr>
        <w:jc w:val="both"/>
        <w:rPr>
          <w:rFonts w:ascii="Calibri" w:hAnsi="Calibri"/>
          <w:i/>
        </w:rPr>
      </w:pPr>
      <w:r w:rsidRPr="001E2E9B">
        <w:rPr>
          <w:rFonts w:ascii="Calibri" w:hAnsi="Calibri"/>
          <w:i/>
        </w:rPr>
        <w:t>ul. Bernardyńska 3</w:t>
      </w:r>
      <w:r>
        <w:rPr>
          <w:rFonts w:ascii="Calibri" w:hAnsi="Calibri"/>
          <w:i/>
        </w:rPr>
        <w:t xml:space="preserve">, </w:t>
      </w:r>
      <w:r w:rsidRPr="001E2E9B">
        <w:rPr>
          <w:rFonts w:ascii="Calibri" w:hAnsi="Calibri"/>
          <w:i/>
        </w:rPr>
        <w:t>20-109 Lublin</w:t>
      </w:r>
      <w:r w:rsidR="00AD580A">
        <w:rPr>
          <w:rFonts w:ascii="Calibri" w:hAnsi="Calibri"/>
          <w:i/>
        </w:rPr>
        <w:t>;</w:t>
      </w:r>
    </w:p>
    <w:p w14:paraId="7A61D281" w14:textId="77777777" w:rsidR="001E2E9B" w:rsidRDefault="001E2E9B" w:rsidP="001E2E9B">
      <w:pPr>
        <w:pStyle w:val="Akapitzlist"/>
        <w:numPr>
          <w:ilvl w:val="2"/>
          <w:numId w:val="7"/>
        </w:numPr>
        <w:jc w:val="both"/>
        <w:rPr>
          <w:rFonts w:ascii="Calibri" w:hAnsi="Calibri"/>
          <w:i/>
        </w:rPr>
      </w:pPr>
      <w:r w:rsidRPr="001E2E9B">
        <w:rPr>
          <w:rFonts w:ascii="Calibri" w:hAnsi="Calibri"/>
          <w:i/>
        </w:rPr>
        <w:t>ul. Halicka 9</w:t>
      </w:r>
      <w:r>
        <w:rPr>
          <w:rFonts w:ascii="Calibri" w:hAnsi="Calibri"/>
          <w:i/>
        </w:rPr>
        <w:t xml:space="preserve">. </w:t>
      </w:r>
      <w:r w:rsidRPr="001E2E9B">
        <w:rPr>
          <w:rFonts w:ascii="Calibri" w:hAnsi="Calibri"/>
          <w:i/>
        </w:rPr>
        <w:t>31-036 Kraków</w:t>
      </w:r>
      <w:r w:rsidR="00AD580A">
        <w:rPr>
          <w:rFonts w:ascii="Calibri" w:hAnsi="Calibri"/>
          <w:i/>
        </w:rPr>
        <w:t>;</w:t>
      </w:r>
    </w:p>
    <w:p w14:paraId="15D5A3DD" w14:textId="77777777" w:rsidR="001E2E9B" w:rsidRDefault="001E2E9B" w:rsidP="001E2E9B">
      <w:pPr>
        <w:pStyle w:val="Akapitzlist"/>
        <w:numPr>
          <w:ilvl w:val="2"/>
          <w:numId w:val="7"/>
        </w:numPr>
        <w:jc w:val="both"/>
        <w:rPr>
          <w:rFonts w:ascii="Calibri" w:hAnsi="Calibri"/>
          <w:i/>
        </w:rPr>
      </w:pPr>
      <w:r w:rsidRPr="001E2E9B">
        <w:rPr>
          <w:rFonts w:ascii="Calibri" w:hAnsi="Calibri"/>
          <w:i/>
        </w:rPr>
        <w:t>ul. Staromiejska 13a</w:t>
      </w:r>
      <w:r>
        <w:rPr>
          <w:rFonts w:ascii="Calibri" w:hAnsi="Calibri"/>
          <w:i/>
        </w:rPr>
        <w:t xml:space="preserve">, </w:t>
      </w:r>
      <w:r w:rsidRPr="001E2E9B">
        <w:rPr>
          <w:rFonts w:ascii="Calibri" w:hAnsi="Calibri"/>
          <w:i/>
        </w:rPr>
        <w:t>40-013 Katowice</w:t>
      </w:r>
      <w:r w:rsidR="00AD580A">
        <w:rPr>
          <w:rFonts w:ascii="Calibri" w:hAnsi="Calibri"/>
          <w:i/>
        </w:rPr>
        <w:t>;</w:t>
      </w:r>
    </w:p>
    <w:p w14:paraId="3FFC18A5" w14:textId="77777777" w:rsidR="001E2E9B" w:rsidRDefault="001E2E9B" w:rsidP="001E2E9B">
      <w:pPr>
        <w:pStyle w:val="Akapitzlist"/>
        <w:numPr>
          <w:ilvl w:val="2"/>
          <w:numId w:val="7"/>
        </w:numPr>
        <w:jc w:val="both"/>
        <w:rPr>
          <w:rFonts w:ascii="Calibri" w:hAnsi="Calibri"/>
          <w:i/>
        </w:rPr>
      </w:pPr>
      <w:r w:rsidRPr="001E2E9B">
        <w:rPr>
          <w:rFonts w:ascii="Calibri" w:hAnsi="Calibri"/>
          <w:i/>
        </w:rPr>
        <w:t>ul. Strzelecka 7B</w:t>
      </w:r>
      <w:r>
        <w:rPr>
          <w:rFonts w:ascii="Calibri" w:hAnsi="Calibri"/>
          <w:i/>
        </w:rPr>
        <w:t xml:space="preserve">, </w:t>
      </w:r>
      <w:r w:rsidRPr="001E2E9B">
        <w:rPr>
          <w:rFonts w:ascii="Calibri" w:hAnsi="Calibri"/>
          <w:i/>
        </w:rPr>
        <w:t>80-803 Gdańsk</w:t>
      </w:r>
      <w:r w:rsidR="00AD580A">
        <w:rPr>
          <w:rFonts w:ascii="Calibri" w:hAnsi="Calibri"/>
          <w:i/>
        </w:rPr>
        <w:t>;</w:t>
      </w:r>
    </w:p>
    <w:p w14:paraId="454A5718" w14:textId="77777777" w:rsidR="001E2E9B" w:rsidRDefault="001E2E9B" w:rsidP="001E2E9B">
      <w:pPr>
        <w:pStyle w:val="Akapitzlist"/>
        <w:numPr>
          <w:ilvl w:val="2"/>
          <w:numId w:val="7"/>
        </w:numPr>
        <w:jc w:val="both"/>
        <w:rPr>
          <w:rFonts w:ascii="Calibri" w:hAnsi="Calibri"/>
          <w:i/>
        </w:rPr>
      </w:pPr>
      <w:r w:rsidRPr="001E2E9B">
        <w:rPr>
          <w:rFonts w:ascii="Calibri" w:hAnsi="Calibri"/>
          <w:i/>
        </w:rPr>
        <w:t>ul. Św. Antoniego 7</w:t>
      </w:r>
      <w:r>
        <w:rPr>
          <w:rFonts w:ascii="Calibri" w:hAnsi="Calibri"/>
          <w:i/>
        </w:rPr>
        <w:t xml:space="preserve">, </w:t>
      </w:r>
      <w:r w:rsidRPr="001E2E9B">
        <w:rPr>
          <w:rFonts w:ascii="Calibri" w:hAnsi="Calibri"/>
          <w:i/>
        </w:rPr>
        <w:t>50-073 Wrocław</w:t>
      </w:r>
      <w:r w:rsidR="00AD580A">
        <w:rPr>
          <w:rFonts w:ascii="Calibri" w:hAnsi="Calibri"/>
          <w:i/>
        </w:rPr>
        <w:t>;</w:t>
      </w:r>
      <w:bookmarkStart w:id="0" w:name="_GoBack"/>
      <w:bookmarkEnd w:id="0"/>
    </w:p>
    <w:p w14:paraId="4FFC15CD" w14:textId="77777777" w:rsidR="001E2E9B" w:rsidRPr="00AD580A" w:rsidRDefault="00AD580A" w:rsidP="00AD580A">
      <w:pPr>
        <w:pStyle w:val="Akapitzlist"/>
        <w:numPr>
          <w:ilvl w:val="2"/>
          <w:numId w:val="7"/>
        </w:numPr>
        <w:jc w:val="both"/>
        <w:rPr>
          <w:rFonts w:ascii="Calibri" w:hAnsi="Calibri"/>
          <w:i/>
        </w:rPr>
      </w:pPr>
      <w:r w:rsidRPr="00AD580A">
        <w:rPr>
          <w:rFonts w:ascii="Calibri" w:hAnsi="Calibri"/>
          <w:i/>
        </w:rPr>
        <w:t>ul. Górecka 1</w:t>
      </w:r>
      <w:r>
        <w:rPr>
          <w:rFonts w:ascii="Calibri" w:hAnsi="Calibri"/>
          <w:i/>
        </w:rPr>
        <w:t xml:space="preserve">, </w:t>
      </w:r>
      <w:r w:rsidRPr="00AD580A">
        <w:rPr>
          <w:rFonts w:ascii="Calibri" w:hAnsi="Calibri"/>
          <w:i/>
        </w:rPr>
        <w:t>60-201 Poznań</w:t>
      </w:r>
      <w:r>
        <w:rPr>
          <w:rFonts w:ascii="Calibri" w:hAnsi="Calibri"/>
          <w:i/>
        </w:rPr>
        <w:t>.</w:t>
      </w:r>
    </w:p>
    <w:p w14:paraId="14DD2A66" w14:textId="77777777" w:rsidR="001E2E9B" w:rsidRDefault="001E2E9B" w:rsidP="007E008F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W pr</w:t>
      </w:r>
      <w:r w:rsidR="007E008F">
        <w:rPr>
          <w:rFonts w:ascii="Calibri" w:hAnsi="Calibri"/>
        </w:rPr>
        <w:t>zypadku zmiany obiektów siedziby Zamawiającego</w:t>
      </w:r>
      <w:r>
        <w:rPr>
          <w:rFonts w:ascii="Calibri" w:hAnsi="Calibri"/>
        </w:rPr>
        <w:t>, o których mowa powyżej, miejsca dostaw prasy mogą ulec zmianie w trakcie realizacji umowy. Szczegóły dotyczące zmiany miejsca dostawy będą przekazywane Wykonawcy na bieżąco w trybie roboczym drogą elektroniczną. Wykonawca zobowiązany jest wprowadzić zmianę w terminie do 2 dni roboczych od daty otrzymania zgłoszenia o zmianie miejsca dostawy.</w:t>
      </w:r>
    </w:p>
    <w:p w14:paraId="03B04521" w14:textId="77777777" w:rsidR="001E2E9B" w:rsidRDefault="001E2E9B" w:rsidP="007E008F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Prasa drukowana zawierać będzie wszystkie dodatki wliczone w cenę danego tytułu.</w:t>
      </w:r>
    </w:p>
    <w:p w14:paraId="1C58ADB3" w14:textId="3B192A82" w:rsidR="001E2E9B" w:rsidRDefault="001E2E9B" w:rsidP="007E008F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DA4DE5">
        <w:rPr>
          <w:rFonts w:ascii="Calibri" w:hAnsi="Calibri"/>
        </w:rPr>
        <w:t>Dostawy stanowiące przedmiot nin</w:t>
      </w:r>
      <w:r w:rsidR="006319B5">
        <w:rPr>
          <w:rFonts w:ascii="Calibri" w:hAnsi="Calibri"/>
        </w:rPr>
        <w:t>iejszej umowy rozpoczną się od 2</w:t>
      </w:r>
      <w:r w:rsidRPr="00DA4DE5">
        <w:rPr>
          <w:rFonts w:ascii="Calibri" w:hAnsi="Calibri"/>
        </w:rPr>
        <w:t xml:space="preserve"> stycznia 201</w:t>
      </w:r>
      <w:r w:rsidR="007E008F">
        <w:rPr>
          <w:rFonts w:ascii="Calibri" w:hAnsi="Calibri"/>
        </w:rPr>
        <w:t>8</w:t>
      </w:r>
      <w:r w:rsidRPr="00DA4DE5">
        <w:rPr>
          <w:rFonts w:ascii="Calibri" w:hAnsi="Calibri"/>
        </w:rPr>
        <w:t xml:space="preserve"> r. i będą wykonywane </w:t>
      </w:r>
      <w:r w:rsidR="007E008F">
        <w:rPr>
          <w:rFonts w:ascii="Calibri" w:hAnsi="Calibri"/>
        </w:rPr>
        <w:t>do 31.12.</w:t>
      </w:r>
      <w:r w:rsidR="000E33BC">
        <w:rPr>
          <w:rFonts w:ascii="Calibri" w:hAnsi="Calibri"/>
        </w:rPr>
        <w:t>2018</w:t>
      </w:r>
      <w:r w:rsidRPr="00DA4DE5">
        <w:rPr>
          <w:rFonts w:ascii="Calibri" w:hAnsi="Calibri"/>
        </w:rPr>
        <w:t>r. lub</w:t>
      </w:r>
      <w:r>
        <w:rPr>
          <w:rFonts w:ascii="Calibri" w:hAnsi="Calibri"/>
        </w:rPr>
        <w:t xml:space="preserve"> do wyczerpania kwoty wynagrodzenia Wykonawcy, wynikającej z podpisanej umowy. Dla tytułów objętych prenumeratą roczną wykonawca gwarantuje ich dostarczanie do czasu ukazania się ostatniego wydania egzemplarza dotyczącego 2018 roku</w:t>
      </w:r>
      <w:r w:rsidR="007E008F">
        <w:rPr>
          <w:rFonts w:ascii="Calibri" w:hAnsi="Calibri"/>
        </w:rPr>
        <w:t>.</w:t>
      </w:r>
    </w:p>
    <w:p w14:paraId="110C7409" w14:textId="77777777" w:rsidR="001E2E9B" w:rsidRDefault="001E2E9B" w:rsidP="007E008F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zobowiązany jest do dostarczania prasy krajowej i zagranicznej drukowanej </w:t>
      </w:r>
      <w:r w:rsidR="007E008F">
        <w:rPr>
          <w:rFonts w:ascii="Calibri" w:hAnsi="Calibri"/>
        </w:rPr>
        <w:br/>
      </w:r>
      <w:r>
        <w:rPr>
          <w:rFonts w:ascii="Calibri" w:hAnsi="Calibri"/>
        </w:rPr>
        <w:t xml:space="preserve">w zapakowanych pakietach wg podziału na poszczególnych odbiorców </w:t>
      </w:r>
      <w:r w:rsidR="007E008F">
        <w:rPr>
          <w:rFonts w:ascii="Calibri" w:hAnsi="Calibri"/>
        </w:rPr>
        <w:t>Zamawiającego.</w:t>
      </w:r>
    </w:p>
    <w:p w14:paraId="25CC461A" w14:textId="56F0B410" w:rsidR="007E008F" w:rsidRPr="007E008F" w:rsidRDefault="007E008F" w:rsidP="00C4022B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7E008F">
        <w:rPr>
          <w:rFonts w:ascii="Calibri" w:hAnsi="Calibri"/>
        </w:rPr>
        <w:t>Szczegółowe informacje dotyczące tytułów, jak również adresatów i nazw odbiorców znajdują się w um</w:t>
      </w:r>
      <w:r w:rsidR="006319B5">
        <w:rPr>
          <w:rFonts w:ascii="Calibri" w:hAnsi="Calibri"/>
        </w:rPr>
        <w:t>owie, stanowiącej załącznik nr 4</w:t>
      </w:r>
      <w:r w:rsidRPr="007E008F">
        <w:rPr>
          <w:rFonts w:ascii="Calibri" w:hAnsi="Calibri"/>
        </w:rPr>
        <w:t xml:space="preserve"> do Zapytania Ofertowego</w:t>
      </w:r>
      <w:r>
        <w:rPr>
          <w:rFonts w:ascii="Calibri" w:hAnsi="Calibri"/>
        </w:rPr>
        <w:t>.</w:t>
      </w:r>
    </w:p>
    <w:p w14:paraId="28AA1C34" w14:textId="77777777" w:rsidR="007E008F" w:rsidRPr="007E008F" w:rsidRDefault="007E008F" w:rsidP="007E008F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7E008F">
        <w:rPr>
          <w:rFonts w:ascii="Calibri" w:hAnsi="Calibri"/>
        </w:rPr>
        <w:t>Zamawiający zastrzega sobie, w każdym czasie w okresie realizacji przedmiotu umowy, możliwość dokonywa</w:t>
      </w:r>
      <w:r w:rsidR="008E45D3">
        <w:rPr>
          <w:rFonts w:ascii="Calibri" w:hAnsi="Calibri"/>
        </w:rPr>
        <w:t>nia zmian liczby egzemplarzy</w:t>
      </w:r>
      <w:r w:rsidRPr="007E008F">
        <w:rPr>
          <w:rFonts w:ascii="Calibri" w:hAnsi="Calibri"/>
        </w:rPr>
        <w:t xml:space="preserve"> lub rezygnacji z poszczególnych tytułów prasowych w poszczególnych tytułach z zachowaniem ustalonych cen z ofertą Wykonawcy. Wprowadzone zmiany nie stanowią zmiany umowy i nie wymagają zawierania aneksu do umowy.</w:t>
      </w:r>
    </w:p>
    <w:p w14:paraId="2108B8AE" w14:textId="77777777" w:rsidR="00DD5452" w:rsidRDefault="00DD5452" w:rsidP="00DD5452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Zamawiający będzie zgłaszał pisemnie – drogą elektroniczną zmiany przewidywane na etapie realizacji przedmiotu umowy, których otrzymanie potwierdzi Wykonawca.</w:t>
      </w:r>
    </w:p>
    <w:p w14:paraId="66A1B11E" w14:textId="77777777" w:rsidR="00DD5452" w:rsidRDefault="00DD5452" w:rsidP="00DD5452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Wykonawca będzie niezwłocznie zawiadamiał po</w:t>
      </w:r>
      <w:r w:rsidR="008E45D3">
        <w:rPr>
          <w:rFonts w:ascii="Calibri" w:hAnsi="Calibri"/>
        </w:rPr>
        <w:t>cztą elektroniczną Zamawiającego</w:t>
      </w:r>
      <w:r>
        <w:rPr>
          <w:rFonts w:ascii="Calibri" w:hAnsi="Calibri"/>
        </w:rPr>
        <w:t xml:space="preserve"> o:</w:t>
      </w:r>
    </w:p>
    <w:p w14:paraId="6414B7CB" w14:textId="77777777" w:rsidR="00DD5452" w:rsidRDefault="00DD5452" w:rsidP="00DD5452">
      <w:pPr>
        <w:pStyle w:val="Akapitzlist"/>
        <w:numPr>
          <w:ilvl w:val="2"/>
          <w:numId w:val="8"/>
        </w:numPr>
        <w:tabs>
          <w:tab w:val="left" w:pos="709"/>
        </w:tabs>
        <w:ind w:left="567" w:hanging="141"/>
        <w:jc w:val="both"/>
        <w:rPr>
          <w:rFonts w:ascii="Calibri" w:hAnsi="Calibri"/>
        </w:rPr>
      </w:pPr>
      <w:r>
        <w:rPr>
          <w:rFonts w:ascii="Calibri" w:hAnsi="Calibri"/>
        </w:rPr>
        <w:t xml:space="preserve"> wszelkich istotnych zmianach dotyczących zamawianej prasy, np. o zakończeniu lub zawieszeniu wydawania tytułu, zmianie nazwy lub częstotliwości ukazywania się tytuł,</w:t>
      </w:r>
    </w:p>
    <w:p w14:paraId="09DBD62B" w14:textId="77777777" w:rsidR="00DD5452" w:rsidRDefault="00DD5452" w:rsidP="00DD5452">
      <w:pPr>
        <w:pStyle w:val="Akapitzlist"/>
        <w:numPr>
          <w:ilvl w:val="2"/>
          <w:numId w:val="8"/>
        </w:numPr>
        <w:tabs>
          <w:tab w:val="left" w:pos="567"/>
        </w:tabs>
        <w:ind w:left="567" w:hanging="141"/>
        <w:jc w:val="both"/>
        <w:rPr>
          <w:rFonts w:ascii="Calibri" w:hAnsi="Calibri"/>
        </w:rPr>
      </w:pPr>
      <w:r>
        <w:rPr>
          <w:rFonts w:ascii="Calibri" w:hAnsi="Calibri"/>
        </w:rPr>
        <w:t>zaistnieniu siły wyższej uniemożliwiającej wykonanie lub terminowe wykonanie dostawy.</w:t>
      </w:r>
    </w:p>
    <w:p w14:paraId="51B3E6EB" w14:textId="77777777" w:rsidR="00DD5452" w:rsidRDefault="008E45D3" w:rsidP="00DD5452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Zmiany o których mowa w pkt</w:t>
      </w:r>
      <w:r w:rsidR="00DD5452">
        <w:rPr>
          <w:rFonts w:ascii="Calibri" w:hAnsi="Calibri"/>
        </w:rPr>
        <w:t xml:space="preserve"> 8 i 9 nie dotyczą tytułów, o których zakup uzależniony jest </w:t>
      </w:r>
      <w:r w:rsidR="001A72C2">
        <w:rPr>
          <w:rFonts w:ascii="Calibri" w:hAnsi="Calibri"/>
        </w:rPr>
        <w:br/>
      </w:r>
      <w:r w:rsidR="00DD5452">
        <w:rPr>
          <w:rFonts w:ascii="Calibri" w:hAnsi="Calibri"/>
        </w:rPr>
        <w:t xml:space="preserve">od konieczności wykupu przez wykonawcę obowiązkowej prenumeraty rocznej lub półrocznej. </w:t>
      </w:r>
      <w:r w:rsidR="001A72C2">
        <w:rPr>
          <w:rFonts w:ascii="Calibri" w:hAnsi="Calibri"/>
        </w:rPr>
        <w:br/>
      </w:r>
      <w:r w:rsidR="00DD5452">
        <w:rPr>
          <w:rFonts w:ascii="Calibri" w:hAnsi="Calibri"/>
        </w:rPr>
        <w:t xml:space="preserve">W przypadku prenumeraty półrocznej zmiana w zamówieniu może nastąpić po upływie 6 miesięcy od momentu zaprenumerowania przez Wykonawcę danego tytułu.  W dniu zawarcia umowy wykonawca prześle Zamawiającemu listę tytułów objętych obowiązkową prenumeratą roczną lub półroczną. </w:t>
      </w:r>
    </w:p>
    <w:p w14:paraId="7DAEA128" w14:textId="77777777" w:rsidR="00DD5452" w:rsidRDefault="00DD5452" w:rsidP="00DD5452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Zamawiający zastrzega sobie możliwość odstąpienia od dostawy lub części dostawy w każdej pozycji prasowej (tytule). Zakres przedmiotu zamówienia może być pomniejszony o maksimum 30% ogólnej wartości zamówienia (zrealizowany w 70%).</w:t>
      </w:r>
    </w:p>
    <w:p w14:paraId="2F6968EE" w14:textId="77777777" w:rsidR="00DD5452" w:rsidRPr="00DD5452" w:rsidRDefault="00DD5452" w:rsidP="00DD5452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Zamawiający</w:t>
      </w:r>
      <w:r w:rsidRPr="00DD5452">
        <w:rPr>
          <w:rFonts w:ascii="Calibri" w:hAnsi="Calibri"/>
        </w:rPr>
        <w:t xml:space="preserve"> </w:t>
      </w:r>
      <w:r>
        <w:rPr>
          <w:rFonts w:ascii="Calibri" w:hAnsi="Calibri"/>
        </w:rPr>
        <w:t>może</w:t>
      </w:r>
      <w:r w:rsidRPr="00DD5452">
        <w:rPr>
          <w:rFonts w:ascii="Calibri" w:hAnsi="Calibri"/>
        </w:rPr>
        <w:t xml:space="preserve"> zgłaszać zmiany, dotyczące rezygnacji z tytułu, zmniejszenia lub zwiększenia ilości egzemplarzy w poszczególnych tytułach, pocztą elektroniczną. Zmiany dla prasy codziennej i tygo</w:t>
      </w:r>
      <w:r w:rsidR="008E45D3">
        <w:rPr>
          <w:rFonts w:ascii="Calibri" w:hAnsi="Calibri"/>
        </w:rPr>
        <w:t>dników powinny być wprowadzone</w:t>
      </w:r>
      <w:r w:rsidRPr="00DD5452">
        <w:rPr>
          <w:rFonts w:ascii="Calibri" w:hAnsi="Calibri"/>
        </w:rPr>
        <w:t xml:space="preserve"> jak najszybciej, jednak nie później niż w terminie do 3 dni roboczych dla miesięczników, zmiany mogą być realizowane z początkiem miesiąca następującego po miesiącu, w którym Zamawiający poinformował Wykonawcę, ale nie później niż 10 dni roboczych przed rozpoczęciem kolejnego miesiąca świadczenia usługi. Wykonawca zobowiązuje się potwierdzić na piśmie w formie elektronicznej otrzymanie informacji dotyczących zmian ilościowych lub likwidacji/utworzenia poszczególnych pakietów.</w:t>
      </w:r>
    </w:p>
    <w:p w14:paraId="79EB2D6D" w14:textId="77777777" w:rsidR="00DD5452" w:rsidRDefault="00DD5452" w:rsidP="00DD5452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Wykonawca dostarcza posegregowaną prasę w  pakiety (paczki), zgodnie z umową i aktualizuje na bieżąco w trakcie realizacji umowy oraz konfekcjonuje  je używając do tego celu trwałego, foliowego opakowania, które zabezpieczać będzie zawartość pakietów przed wpływem czynników atmosferycznych.</w:t>
      </w:r>
    </w:p>
    <w:p w14:paraId="4E3AACED" w14:textId="77777777" w:rsidR="00DD5452" w:rsidRDefault="00DD5452" w:rsidP="00DD5452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 opakowaniu winna być widoczna pełna nazwa odbiorcy/biura. Dodatkowo do każdego pakietu będzie dołączony wykaz dostarczonych w pakietach tytułów z podaniem ich liczby. </w:t>
      </w:r>
    </w:p>
    <w:p w14:paraId="3C08E387" w14:textId="439EE348" w:rsidR="00DD5452" w:rsidRPr="00DD5452" w:rsidRDefault="00DD5452" w:rsidP="00DD5452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DD5452">
        <w:rPr>
          <w:rFonts w:ascii="Calibri" w:hAnsi="Calibri"/>
        </w:rPr>
        <w:t xml:space="preserve">Przedmiot zamówienia dostarczony będzie </w:t>
      </w:r>
      <w:r w:rsidR="0033470C">
        <w:rPr>
          <w:rFonts w:ascii="Calibri" w:hAnsi="Calibri"/>
        </w:rPr>
        <w:t>Zamawiającemu</w:t>
      </w:r>
      <w:r w:rsidRPr="00DD5452">
        <w:rPr>
          <w:rFonts w:ascii="Calibri" w:hAnsi="Calibri"/>
        </w:rPr>
        <w:t xml:space="preserve"> na koszt i ryzyko Wykonawcy.</w:t>
      </w:r>
    </w:p>
    <w:p w14:paraId="3C0D8D4E" w14:textId="77777777" w:rsidR="00DD5452" w:rsidRPr="00930F86" w:rsidRDefault="00DD5452" w:rsidP="00DD5452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930F86">
        <w:rPr>
          <w:rFonts w:ascii="Calibri" w:hAnsi="Calibri"/>
        </w:rPr>
        <w:t>Prasa papierowa krajowa będzie dostarczana w zapakowanych pakietach nie później niż:</w:t>
      </w:r>
    </w:p>
    <w:p w14:paraId="6EF2CC50" w14:textId="77777777" w:rsidR="00DD5452" w:rsidRPr="00DD5452" w:rsidRDefault="00DD5452" w:rsidP="00DD5452">
      <w:pPr>
        <w:pStyle w:val="Akapitzlist"/>
        <w:numPr>
          <w:ilvl w:val="1"/>
          <w:numId w:val="7"/>
        </w:numPr>
        <w:tabs>
          <w:tab w:val="left" w:pos="851"/>
          <w:tab w:val="left" w:pos="993"/>
        </w:tabs>
        <w:jc w:val="both"/>
        <w:rPr>
          <w:rFonts w:ascii="Calibri" w:hAnsi="Calibri"/>
          <w:b/>
        </w:rPr>
      </w:pPr>
      <w:r w:rsidRPr="00DD5452">
        <w:rPr>
          <w:rFonts w:ascii="Calibri" w:hAnsi="Calibri"/>
        </w:rPr>
        <w:t>do god</w:t>
      </w:r>
      <w:r>
        <w:rPr>
          <w:rFonts w:ascii="Calibri" w:hAnsi="Calibri"/>
        </w:rPr>
        <w:t>z. 8</w:t>
      </w:r>
      <w:r w:rsidR="008E45D3">
        <w:rPr>
          <w:rFonts w:ascii="Calibri" w:hAnsi="Calibri"/>
        </w:rPr>
        <w:t>:</w:t>
      </w:r>
      <w:r w:rsidRPr="00DD5452">
        <w:rPr>
          <w:rFonts w:ascii="Calibri" w:hAnsi="Calibri"/>
        </w:rPr>
        <w:t xml:space="preserve">00 w dniu ukazania się na rynku – w przypadku dzienników porannych </w:t>
      </w:r>
      <w:r>
        <w:rPr>
          <w:rFonts w:ascii="Calibri" w:hAnsi="Calibri"/>
        </w:rPr>
        <w:br/>
      </w:r>
      <w:r w:rsidRPr="00DD5452">
        <w:rPr>
          <w:rFonts w:ascii="Calibri" w:hAnsi="Calibri"/>
        </w:rPr>
        <w:t>i tygodników,</w:t>
      </w:r>
    </w:p>
    <w:p w14:paraId="7395173D" w14:textId="77777777" w:rsidR="00DD5452" w:rsidRPr="00DD5452" w:rsidRDefault="00DD5452" w:rsidP="00DD5452">
      <w:pPr>
        <w:pStyle w:val="Akapitzlist"/>
        <w:numPr>
          <w:ilvl w:val="1"/>
          <w:numId w:val="7"/>
        </w:numPr>
        <w:tabs>
          <w:tab w:val="left" w:pos="851"/>
          <w:tab w:val="left" w:pos="993"/>
        </w:tabs>
        <w:jc w:val="both"/>
        <w:rPr>
          <w:rFonts w:ascii="Calibri" w:hAnsi="Calibri"/>
          <w:b/>
        </w:rPr>
      </w:pPr>
      <w:r>
        <w:rPr>
          <w:rFonts w:ascii="Calibri" w:hAnsi="Calibri"/>
        </w:rPr>
        <w:t>do godz. 8</w:t>
      </w:r>
      <w:r w:rsidR="008E45D3">
        <w:rPr>
          <w:rFonts w:ascii="Calibri" w:hAnsi="Calibri"/>
        </w:rPr>
        <w:t>:</w:t>
      </w:r>
      <w:r w:rsidRPr="00DD5452">
        <w:rPr>
          <w:rFonts w:ascii="Calibri" w:hAnsi="Calibri"/>
        </w:rPr>
        <w:t>00 w dniu następnym od dnia ukazania się na rynku – w przypadku dzienników popołudniowych,</w:t>
      </w:r>
    </w:p>
    <w:p w14:paraId="39A97ADE" w14:textId="77777777" w:rsidR="00DD5452" w:rsidRPr="00DD5452" w:rsidRDefault="00DD5452" w:rsidP="00DD5452">
      <w:pPr>
        <w:pStyle w:val="Akapitzlist"/>
        <w:numPr>
          <w:ilvl w:val="1"/>
          <w:numId w:val="7"/>
        </w:numPr>
        <w:tabs>
          <w:tab w:val="left" w:pos="851"/>
          <w:tab w:val="left" w:pos="993"/>
        </w:tabs>
        <w:jc w:val="both"/>
        <w:rPr>
          <w:rFonts w:ascii="Calibri" w:hAnsi="Calibri"/>
          <w:b/>
        </w:rPr>
      </w:pPr>
      <w:r w:rsidRPr="00DD5452">
        <w:rPr>
          <w:rFonts w:ascii="Calibri" w:hAnsi="Calibri"/>
        </w:rPr>
        <w:t>do trzech dni roboczych od dnia ukazania się na rynku</w:t>
      </w:r>
      <w:r w:rsidR="008E45D3">
        <w:rPr>
          <w:rFonts w:ascii="Calibri" w:hAnsi="Calibri"/>
        </w:rPr>
        <w:t xml:space="preserve"> </w:t>
      </w:r>
      <w:r w:rsidRPr="00DD5452">
        <w:rPr>
          <w:rFonts w:ascii="Calibri" w:hAnsi="Calibri"/>
        </w:rPr>
        <w:t>- w przypadku innych tytułów niż dzienniki i tygodniki.</w:t>
      </w:r>
    </w:p>
    <w:p w14:paraId="35DB6C4B" w14:textId="77777777" w:rsidR="007E008F" w:rsidRDefault="007E008F" w:rsidP="00502021">
      <w:pPr>
        <w:jc w:val="both"/>
        <w:rPr>
          <w:rFonts w:ascii="Calibri" w:hAnsi="Calibri"/>
        </w:rPr>
      </w:pPr>
    </w:p>
    <w:p w14:paraId="3DD64453" w14:textId="77777777" w:rsidR="00502021" w:rsidRPr="00502021" w:rsidRDefault="00502021" w:rsidP="0050202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</w:t>
      </w:r>
      <w:r w:rsidRPr="00502021">
        <w:rPr>
          <w:rFonts w:ascii="Calibri" w:hAnsi="Calibri"/>
          <w:b/>
        </w:rPr>
        <w:t>Warunki realizac</w:t>
      </w:r>
      <w:r w:rsidR="00AE5A4B">
        <w:rPr>
          <w:rFonts w:ascii="Calibri" w:hAnsi="Calibri"/>
          <w:b/>
        </w:rPr>
        <w:t>ji usługi dostępu do prasy krajowej</w:t>
      </w:r>
      <w:r w:rsidRPr="00502021">
        <w:rPr>
          <w:rFonts w:ascii="Calibri" w:hAnsi="Calibri"/>
          <w:b/>
        </w:rPr>
        <w:t xml:space="preserve"> w wersji elektronicznej</w:t>
      </w:r>
    </w:p>
    <w:p w14:paraId="6007FE24" w14:textId="77777777" w:rsidR="00502021" w:rsidRDefault="00502021" w:rsidP="00502021">
      <w:pPr>
        <w:pStyle w:val="Akapitzlist"/>
        <w:ind w:left="1080"/>
        <w:jc w:val="both"/>
        <w:rPr>
          <w:rFonts w:ascii="Calibri" w:hAnsi="Calibri"/>
          <w:b/>
        </w:rPr>
      </w:pPr>
    </w:p>
    <w:p w14:paraId="2DAD8AB0" w14:textId="77777777" w:rsidR="0050202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 w:rsidRPr="00121DFD">
        <w:rPr>
          <w:rFonts w:ascii="Calibri" w:hAnsi="Calibri"/>
        </w:rPr>
        <w:t xml:space="preserve">Przedmiotem zamówienia jest </w:t>
      </w:r>
      <w:r>
        <w:rPr>
          <w:rFonts w:ascii="Calibri" w:hAnsi="Calibri"/>
        </w:rPr>
        <w:t xml:space="preserve">usługa dostępu </w:t>
      </w:r>
      <w:r w:rsidR="00D66200">
        <w:rPr>
          <w:rFonts w:ascii="Calibri" w:hAnsi="Calibri"/>
        </w:rPr>
        <w:t>do prasy krajowej</w:t>
      </w:r>
      <w:r>
        <w:rPr>
          <w:rFonts w:ascii="Calibri" w:hAnsi="Calibri"/>
        </w:rPr>
        <w:t xml:space="preserve"> w wersji elektronicznej dla </w:t>
      </w:r>
      <w:r w:rsidR="00D66200">
        <w:rPr>
          <w:rFonts w:ascii="Calibri" w:hAnsi="Calibri"/>
        </w:rPr>
        <w:t>Zamawiającego</w:t>
      </w:r>
      <w:r>
        <w:rPr>
          <w:rFonts w:ascii="Calibri" w:hAnsi="Calibri"/>
        </w:rPr>
        <w:t xml:space="preserve"> polegającej na udostęp</w:t>
      </w:r>
      <w:r w:rsidR="00D66200">
        <w:rPr>
          <w:rFonts w:ascii="Calibri" w:hAnsi="Calibri"/>
        </w:rPr>
        <w:t xml:space="preserve">nieniu użytkownikom pobierania </w:t>
      </w:r>
      <w:r>
        <w:rPr>
          <w:rFonts w:ascii="Calibri" w:hAnsi="Calibri"/>
        </w:rPr>
        <w:t xml:space="preserve">i odczytywania, </w:t>
      </w:r>
      <w:r w:rsidR="001A72C2">
        <w:rPr>
          <w:rFonts w:ascii="Calibri" w:hAnsi="Calibri"/>
        </w:rPr>
        <w:br/>
      </w:r>
      <w:r>
        <w:rPr>
          <w:rFonts w:ascii="Calibri" w:hAnsi="Calibri"/>
        </w:rPr>
        <w:t>na co najmniej dwóch różnych urządzeniach, w tym jednym mobilnym, prasy w  poniższy sposób:</w:t>
      </w:r>
    </w:p>
    <w:p w14:paraId="75AE5315" w14:textId="77777777" w:rsidR="00502021" w:rsidRDefault="00502021" w:rsidP="00502021">
      <w:pPr>
        <w:pStyle w:val="Akapitzlist"/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 serwera dostawcy za pomocą przydzielonych przez Wykonawcę loginów i haseł, </w:t>
      </w:r>
      <w:r>
        <w:rPr>
          <w:rFonts w:ascii="Calibri" w:hAnsi="Calibri"/>
        </w:rPr>
        <w:br/>
        <w:t>lub za pośrednictwem numerów IP Zamawiającego o ile Wydawca nie dopuszcza aktywacji dostępu poprzez login i hasło, lub,</w:t>
      </w:r>
    </w:p>
    <w:p w14:paraId="3BB641F8" w14:textId="0E6D05A4" w:rsidR="00502021" w:rsidRDefault="00502021" w:rsidP="00502021">
      <w:pPr>
        <w:pStyle w:val="Akapitzlist"/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poprzez zainstalowanie na stacjach roboczych </w:t>
      </w:r>
      <w:r w:rsidR="0033470C">
        <w:rPr>
          <w:rFonts w:ascii="Calibri" w:hAnsi="Calibri"/>
        </w:rPr>
        <w:t xml:space="preserve">Zamawiającego </w:t>
      </w:r>
      <w:r>
        <w:rPr>
          <w:rFonts w:ascii="Calibri" w:hAnsi="Calibri"/>
        </w:rPr>
        <w:t>oprogramowania aplikacyjnego.</w:t>
      </w:r>
    </w:p>
    <w:p w14:paraId="5A0D8BF4" w14:textId="77777777" w:rsidR="0050202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Wykonawca zapewni rozwiązanie umożliwiające wydzielenie kont dostępnych dla użytkowników, którzy będą korzystali z aplikacji prasy elektronicznej. Przekazanie loginów i haseł nastąpi przynajmniej 5 dni przed rozpoczęcie „prenumeraty”.</w:t>
      </w:r>
    </w:p>
    <w:p w14:paraId="54BEE6B5" w14:textId="077E0CF8" w:rsidR="0050202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zastrzega sobie prawo do rezygnacji z tytułów prasowych będących w kolportażu Wykonawcy, dostarczonych do </w:t>
      </w:r>
      <w:r w:rsidR="0033470C">
        <w:rPr>
          <w:rFonts w:ascii="Calibri" w:hAnsi="Calibri"/>
        </w:rPr>
        <w:t>Zamawiającego</w:t>
      </w:r>
      <w:r>
        <w:rPr>
          <w:rFonts w:ascii="Calibri" w:hAnsi="Calibri"/>
        </w:rPr>
        <w:t>. Zamawiający zastrzega sobie prawo do zmiany adresów mailowych, do których przydzielono loginy i hasła. Z tego tytułu Wykonawcy nie będzie przysługiwało żadne roszczenie. Rezygnacja dokonana będzie w formie pisemnej lub elektronicznej.</w:t>
      </w:r>
    </w:p>
    <w:p w14:paraId="3AA58A24" w14:textId="77777777" w:rsidR="0050202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Wykaz tytułów prasy elektronicznej został zawarty w </w:t>
      </w:r>
      <w:r w:rsidR="00D66200">
        <w:rPr>
          <w:rFonts w:ascii="Calibri" w:hAnsi="Calibri"/>
        </w:rPr>
        <w:t xml:space="preserve">Umowie, </w:t>
      </w:r>
      <w:r w:rsidR="00D66200" w:rsidRPr="006319B5">
        <w:rPr>
          <w:rFonts w:ascii="Calibri" w:hAnsi="Calibri"/>
        </w:rPr>
        <w:t>stanowiącej załącznik nr 5</w:t>
      </w:r>
      <w:r w:rsidRPr="006319B5">
        <w:rPr>
          <w:rFonts w:ascii="Calibri" w:hAnsi="Calibri"/>
        </w:rPr>
        <w:t>.</w:t>
      </w:r>
    </w:p>
    <w:p w14:paraId="7BB15F7D" w14:textId="09C435E7" w:rsidR="0050202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Przez liczbę dostępów rozumie się taką liczbę loginów użytkowników </w:t>
      </w:r>
      <w:r w:rsidR="0033470C">
        <w:rPr>
          <w:rFonts w:ascii="Calibri" w:hAnsi="Calibri"/>
        </w:rPr>
        <w:t>Zamawiającego</w:t>
      </w:r>
      <w:r>
        <w:rPr>
          <w:rFonts w:ascii="Calibri" w:hAnsi="Calibri"/>
        </w:rPr>
        <w:t xml:space="preserve">, która pozwala </w:t>
      </w:r>
      <w:r>
        <w:rPr>
          <w:rFonts w:ascii="Calibri" w:hAnsi="Calibri"/>
        </w:rPr>
        <w:br/>
        <w:t>na równoczesne pobranie i odczytywanie danego tytułu. Jeden pakiet prasy będzie posługiwał się jednym loginem.</w:t>
      </w:r>
    </w:p>
    <w:p w14:paraId="5EA94B80" w14:textId="00CD1E68" w:rsidR="00502021" w:rsidRPr="006319B5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 w:rsidRPr="006319B5">
        <w:rPr>
          <w:rFonts w:ascii="Calibri" w:hAnsi="Calibri"/>
        </w:rPr>
        <w:t xml:space="preserve">Wykonawca dostarczy i zapewni dostęp do tytułów prasy elektronicznej wskazanych w </w:t>
      </w:r>
      <w:r w:rsidR="00D66200" w:rsidRPr="006319B5">
        <w:rPr>
          <w:rFonts w:ascii="Calibri" w:hAnsi="Calibri"/>
        </w:rPr>
        <w:t xml:space="preserve">umowie nr </w:t>
      </w:r>
      <w:r w:rsidR="006319B5" w:rsidRPr="006319B5">
        <w:rPr>
          <w:rFonts w:ascii="Calibri" w:hAnsi="Calibri"/>
        </w:rPr>
        <w:t>5</w:t>
      </w:r>
      <w:r w:rsidR="0033470C" w:rsidRPr="006319B5">
        <w:rPr>
          <w:rFonts w:ascii="Calibri" w:hAnsi="Calibri"/>
        </w:rPr>
        <w:t xml:space="preserve"> nie później niż do godz. 7:</w:t>
      </w:r>
      <w:r w:rsidRPr="006319B5">
        <w:rPr>
          <w:rFonts w:ascii="Calibri" w:hAnsi="Calibri"/>
        </w:rPr>
        <w:t>00 w dniu wydania gazety o ile wydanie elektroniczne czaso</w:t>
      </w:r>
      <w:r w:rsidR="0033470C" w:rsidRPr="006319B5">
        <w:rPr>
          <w:rFonts w:ascii="Calibri" w:hAnsi="Calibri"/>
        </w:rPr>
        <w:t>pisma nastąpiło przed godziną 7:</w:t>
      </w:r>
      <w:r w:rsidRPr="006319B5">
        <w:rPr>
          <w:rFonts w:ascii="Calibri" w:hAnsi="Calibri"/>
        </w:rPr>
        <w:t>00.</w:t>
      </w:r>
    </w:p>
    <w:p w14:paraId="1FC2488A" w14:textId="77777777" w:rsidR="0050202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Wykonawca dostarczy </w:t>
      </w:r>
      <w:r w:rsidR="00D66200">
        <w:rPr>
          <w:rFonts w:ascii="Calibri" w:hAnsi="Calibri"/>
        </w:rPr>
        <w:t xml:space="preserve">Zamawiającemu </w:t>
      </w:r>
      <w:r>
        <w:rPr>
          <w:rFonts w:ascii="Calibri" w:hAnsi="Calibri"/>
        </w:rPr>
        <w:t xml:space="preserve">oprogramowanie aplikacyjne służące do czytania prasy </w:t>
      </w:r>
      <w:r w:rsidR="001A72C2">
        <w:rPr>
          <w:rFonts w:ascii="Calibri" w:hAnsi="Calibri"/>
        </w:rPr>
        <w:br/>
      </w:r>
      <w:r>
        <w:rPr>
          <w:rFonts w:ascii="Calibri" w:hAnsi="Calibri"/>
        </w:rPr>
        <w:t>w wersji elektroni</w:t>
      </w:r>
      <w:r w:rsidR="00D66200">
        <w:rPr>
          <w:rFonts w:ascii="Calibri" w:hAnsi="Calibri"/>
        </w:rPr>
        <w:t>cznej.</w:t>
      </w:r>
    </w:p>
    <w:p w14:paraId="7B65A434" w14:textId="77777777" w:rsidR="0050202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Pobieranie zamówionych tytułów (tzn. pobranie całej objętości danego elektronicznego wyd</w:t>
      </w:r>
      <w:r w:rsidR="0033470C">
        <w:rPr>
          <w:rFonts w:ascii="Calibri" w:hAnsi="Calibri"/>
        </w:rPr>
        <w:t>ania o ile dopuszcza to Wydawca</w:t>
      </w:r>
      <w:r>
        <w:rPr>
          <w:rFonts w:ascii="Calibri" w:hAnsi="Calibri"/>
        </w:rPr>
        <w:t>) będzie się odbywać poprzez bezpieczny, dedykowany kanał łączności wykorzystujący istniejące łącze internetowe.</w:t>
      </w:r>
    </w:p>
    <w:p w14:paraId="05596970" w14:textId="77777777" w:rsidR="0050202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W przypadku awarii po stronie Wykonawcy, Wykonawca usunie ją w ciągu 3 godzin w dzień roboczy oraz w ciągu 6 godzin w dni wolne od pracy – czas będzie liczony od momentu zgłoszenia awarii na adres poczty elektronicznej Wykonawcy. W przypadku awarii po stronie Wykonawcy, dłuższy niż jedną dobę, Wykonawca dostarczy niezwłocznie wszystkie prenumerowane przez Zamawiającego tytuły wydane od dnia wystąpienia awarii.  Awaria skutkują</w:t>
      </w:r>
      <w:r w:rsidR="0033470C">
        <w:rPr>
          <w:rFonts w:ascii="Calibri" w:hAnsi="Calibri"/>
        </w:rPr>
        <w:t>ca niedostarczeniem zamówionych</w:t>
      </w:r>
      <w:r>
        <w:rPr>
          <w:rFonts w:ascii="Calibri" w:hAnsi="Calibri"/>
        </w:rPr>
        <w:t xml:space="preserve"> tytułów będzie zgłaszana przez wyznaczonego pracownika Zmawiającego telefonicznie lub za pomocą poczty elektronicznej na adres wskazany przez Wykonawcę.</w:t>
      </w:r>
    </w:p>
    <w:p w14:paraId="522E9B9E" w14:textId="77777777" w:rsidR="0050202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Powyższe terminy w technicznie uzasadnionych przypadkach mogą zostać wydłużone za zgodą Zamawiającego.</w:t>
      </w:r>
    </w:p>
    <w:p w14:paraId="6114E380" w14:textId="77777777" w:rsidR="0050202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Wykonawca udzieli Zamawiającemu na okres obowiązywania umowy oraz w ramach wynagrodzenia określonego w umowie, licencji na korzystanie z oprogramowania służącego pobieraniu i odczytywaniu elektronicznych wydań prasy.</w:t>
      </w:r>
    </w:p>
    <w:p w14:paraId="79687CF0" w14:textId="77777777" w:rsidR="0050202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Prasa elektroniczna zawierać będzie wszystkie dodatki wliczone w cenę danego tytułu.</w:t>
      </w:r>
    </w:p>
    <w:p w14:paraId="388E026B" w14:textId="11DA45DE" w:rsidR="0050202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udostępni dostęp do wydań archiwalnych danego czasopisma o ile jest </w:t>
      </w:r>
      <w:r w:rsidR="001A72C2">
        <w:rPr>
          <w:rFonts w:ascii="Calibri" w:hAnsi="Calibri"/>
        </w:rPr>
        <w:br/>
      </w:r>
      <w:r>
        <w:rPr>
          <w:rFonts w:ascii="Calibri" w:hAnsi="Calibri"/>
        </w:rPr>
        <w:t xml:space="preserve">on oferowany przez Wydawcę w zakresie publikacji, z których </w:t>
      </w:r>
      <w:r w:rsidR="0033470C">
        <w:rPr>
          <w:rFonts w:ascii="Calibri" w:hAnsi="Calibri"/>
        </w:rPr>
        <w:t xml:space="preserve">Zamawiający </w:t>
      </w:r>
      <w:r>
        <w:rPr>
          <w:rFonts w:ascii="Calibri" w:hAnsi="Calibri"/>
        </w:rPr>
        <w:t xml:space="preserve">korzystał </w:t>
      </w:r>
      <w:r w:rsidR="001A72C2">
        <w:rPr>
          <w:rFonts w:ascii="Calibri" w:hAnsi="Calibri"/>
        </w:rPr>
        <w:br/>
      </w:r>
      <w:r>
        <w:rPr>
          <w:rFonts w:ascii="Calibri" w:hAnsi="Calibri"/>
        </w:rPr>
        <w:t>w poprzednim roku, prenumerując on-line dostęp do danego czasopisma.</w:t>
      </w:r>
    </w:p>
    <w:p w14:paraId="3AFF86D5" w14:textId="3898D042" w:rsidR="0050202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Dostawy stanowiące </w:t>
      </w:r>
      <w:r w:rsidRPr="006319B5">
        <w:rPr>
          <w:rFonts w:ascii="Calibri" w:hAnsi="Calibri"/>
        </w:rPr>
        <w:t xml:space="preserve">przedmiot niniejszej umowy rozpoczną się od </w:t>
      </w:r>
      <w:r w:rsidR="006319B5">
        <w:rPr>
          <w:rFonts w:ascii="Calibri" w:hAnsi="Calibri"/>
        </w:rPr>
        <w:t>2</w:t>
      </w:r>
      <w:r w:rsidR="0033470C" w:rsidRPr="006319B5">
        <w:rPr>
          <w:rFonts w:ascii="Calibri" w:hAnsi="Calibri"/>
        </w:rPr>
        <w:t xml:space="preserve"> stycznia </w:t>
      </w:r>
      <w:r w:rsidRPr="006319B5">
        <w:rPr>
          <w:rFonts w:ascii="Calibri" w:hAnsi="Calibri"/>
        </w:rPr>
        <w:t>201</w:t>
      </w:r>
      <w:r w:rsidR="001A72C2" w:rsidRPr="006319B5">
        <w:rPr>
          <w:rFonts w:ascii="Calibri" w:hAnsi="Calibri"/>
        </w:rPr>
        <w:t>8</w:t>
      </w:r>
      <w:r w:rsidRPr="006319B5">
        <w:rPr>
          <w:rFonts w:ascii="Calibri" w:hAnsi="Calibri"/>
        </w:rPr>
        <w:t xml:space="preserve"> r. i będą wykonywane do 31</w:t>
      </w:r>
      <w:r w:rsidR="0033470C" w:rsidRPr="006319B5">
        <w:rPr>
          <w:rFonts w:ascii="Calibri" w:hAnsi="Calibri"/>
        </w:rPr>
        <w:t xml:space="preserve"> grudnia </w:t>
      </w:r>
      <w:r w:rsidRPr="006319B5">
        <w:rPr>
          <w:rFonts w:ascii="Calibri" w:hAnsi="Calibri"/>
        </w:rPr>
        <w:t>20</w:t>
      </w:r>
      <w:r w:rsidR="007E6813" w:rsidRPr="006319B5">
        <w:rPr>
          <w:rFonts w:ascii="Calibri" w:hAnsi="Calibri"/>
        </w:rPr>
        <w:t>18</w:t>
      </w:r>
      <w:r w:rsidRPr="006319B5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 lub do wyczerpania kwoty wynagrodzenia Wykonawcy, wynikającej z podpisanej umowy.</w:t>
      </w:r>
    </w:p>
    <w:p w14:paraId="77E4698D" w14:textId="77777777" w:rsidR="00502021" w:rsidRPr="00383CD1" w:rsidRDefault="00502021" w:rsidP="00502021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Zamawiający zastrzega sobie, w każdym czasie w okresie realizacji przedmiotu umowy, możliwość dokonywania zmian liczby egzemplarzy w poszczególnych tytułach z zachowaniem ustalonych cen z ofertą Wykonawcy.</w:t>
      </w:r>
    </w:p>
    <w:p w14:paraId="10B22DB4" w14:textId="77777777" w:rsidR="00502021" w:rsidRPr="00502021" w:rsidRDefault="00502021" w:rsidP="00502021">
      <w:pPr>
        <w:jc w:val="both"/>
        <w:rPr>
          <w:rFonts w:ascii="Calibri" w:hAnsi="Calibri"/>
        </w:rPr>
      </w:pPr>
    </w:p>
    <w:p w14:paraId="1E900006" w14:textId="77777777" w:rsidR="001E2E9B" w:rsidRPr="00FC7CD9" w:rsidRDefault="001E2E9B" w:rsidP="00FC7CD9"/>
    <w:sectPr w:rsidR="001E2E9B" w:rsidRPr="00FC7CD9" w:rsidSect="007C2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BC09B" w14:textId="77777777" w:rsidR="00176296" w:rsidRDefault="00176296">
      <w:r>
        <w:separator/>
      </w:r>
    </w:p>
  </w:endnote>
  <w:endnote w:type="continuationSeparator" w:id="0">
    <w:p w14:paraId="1D68317E" w14:textId="77777777" w:rsidR="00176296" w:rsidRDefault="0017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727A" w14:textId="77777777" w:rsidR="00EC33F0" w:rsidRDefault="00FE5794" w:rsidP="00B03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DB97DA" w14:textId="77777777" w:rsidR="00C83E14" w:rsidRDefault="00176296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FE5794">
          <w:t>[Wpisz tekst]</w:t>
        </w:r>
      </w:sdtContent>
    </w:sdt>
    <w:r w:rsidR="00FE5794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FE5794">
          <w:t>[Wpisz tekst]</w:t>
        </w:r>
      </w:sdtContent>
    </w:sdt>
    <w:r w:rsidR="00FE5794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FE5794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3B537E" w14:paraId="499978BC" w14:textId="77777777" w:rsidTr="007D4D60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282F6503" w14:textId="5910EBF3" w:rsidR="007C2372" w:rsidRDefault="00FE5794" w:rsidP="00D07B4C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6433F7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6433F7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3D42E008" w14:textId="77777777" w:rsidR="00015680" w:rsidRPr="00B2580D" w:rsidRDefault="00176296" w:rsidP="00D07B4C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3B537E" w:rsidRPr="006319B5" w14:paraId="245CEFC3" w14:textId="77777777" w:rsidTr="007D4D60">
      <w:tc>
        <w:tcPr>
          <w:tcW w:w="4602" w:type="dxa"/>
        </w:tcPr>
        <w:p w14:paraId="1FB9985E" w14:textId="77777777" w:rsidR="00B2580D" w:rsidRPr="00A61E6A" w:rsidRDefault="00FE5794" w:rsidP="00D07B4C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2E172059" w14:textId="77777777" w:rsidR="00B2580D" w:rsidRPr="00B2580D" w:rsidRDefault="00FE5794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4840B3C6" w14:textId="77777777" w:rsidR="00B2580D" w:rsidRPr="00D53D70" w:rsidRDefault="00FE5794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753D8AAB" w14:textId="77777777" w:rsidR="00B2580D" w:rsidRPr="00742EBB" w:rsidRDefault="00176296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FE5794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54FDB6DC" w14:textId="77777777" w:rsidR="00B2580D" w:rsidRPr="007D4D60" w:rsidRDefault="00FE5794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1C66DD84" w14:textId="77777777" w:rsidR="00733740" w:rsidRPr="007D4D60" w:rsidRDefault="00176296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3B537E" w14:paraId="2E951610" w14:textId="77777777" w:rsidTr="00060F5B">
      <w:trPr>
        <w:trHeight w:val="80"/>
      </w:trPr>
      <w:tc>
        <w:tcPr>
          <w:tcW w:w="4543" w:type="dxa"/>
        </w:tcPr>
        <w:p w14:paraId="41032088" w14:textId="77777777" w:rsidR="00B2580D" w:rsidRPr="00A61E6A" w:rsidRDefault="00176296" w:rsidP="00B2580D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3003E24A" w14:textId="0A458689" w:rsidR="007C2372" w:rsidRDefault="00FE5794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6433F7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6433F7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200D0567" w14:textId="77777777" w:rsidR="00B2580D" w:rsidRPr="00B2580D" w:rsidRDefault="00176296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3B537E" w:rsidRPr="006319B5" w14:paraId="2D78300B" w14:textId="77777777" w:rsidTr="007D4D60">
      <w:tc>
        <w:tcPr>
          <w:tcW w:w="4543" w:type="dxa"/>
        </w:tcPr>
        <w:p w14:paraId="287C2EE4" w14:textId="77777777" w:rsidR="00B2580D" w:rsidRPr="00A61E6A" w:rsidRDefault="00FE5794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3F1FBAD1" w14:textId="77777777" w:rsidR="00B2580D" w:rsidRPr="00B2580D" w:rsidRDefault="00FE5794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3F4EC389" w14:textId="77777777" w:rsidR="00B2580D" w:rsidRPr="00D53D70" w:rsidRDefault="00FE5794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4BB02FEB" w14:textId="77777777" w:rsidR="00B2580D" w:rsidRPr="00742EBB" w:rsidRDefault="00176296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FE5794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412B1959" w14:textId="77777777" w:rsidR="00B2580D" w:rsidRPr="007D4D60" w:rsidRDefault="00FE5794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76D7DF20" w14:textId="77777777" w:rsidR="00733740" w:rsidRPr="007D4D60" w:rsidRDefault="00176296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78504" w14:textId="77777777" w:rsidR="00176296" w:rsidRDefault="00176296">
      <w:r>
        <w:separator/>
      </w:r>
    </w:p>
  </w:footnote>
  <w:footnote w:type="continuationSeparator" w:id="0">
    <w:p w14:paraId="0225C9B4" w14:textId="77777777" w:rsidR="00176296" w:rsidRDefault="0017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8259" w14:textId="77777777" w:rsidR="000702AF" w:rsidRDefault="001762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3D81" w14:textId="77777777" w:rsidR="000702AF" w:rsidRDefault="001762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74268" w14:textId="77777777" w:rsidR="00433D21" w:rsidRPr="00433D21" w:rsidRDefault="00FE5794" w:rsidP="00733740">
    <w:pPr>
      <w:pStyle w:val="Nagwek"/>
      <w:rPr>
        <w:sz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AF1D6F" wp14:editId="26090504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2160000" cy="47880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122E30" wp14:editId="2B82C912">
              <wp:simplePos x="0" y="0"/>
              <wp:positionH relativeFrom="column">
                <wp:posOffset>0</wp:posOffset>
              </wp:positionH>
              <wp:positionV relativeFrom="paragraph">
                <wp:posOffset>572770</wp:posOffset>
              </wp:positionV>
              <wp:extent cx="6656705" cy="228600"/>
              <wp:effectExtent l="0" t="0" r="0" b="0"/>
              <wp:wrapThrough wrapText="bothSides">
                <wp:wrapPolygon edited="0">
                  <wp:start x="0" y="0"/>
                  <wp:lineTo x="0" y="19800"/>
                  <wp:lineTo x="21511" y="19800"/>
                  <wp:lineTo x="21511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2286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53688504" w14:textId="77777777" w:rsidR="008E531F" w:rsidRPr="008D13CF" w:rsidRDefault="00FE5794" w:rsidP="000702AF">
                          <w:pPr>
                            <w:shd w:val="clear" w:color="auto" w:fill="042B60"/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  <w:bookmarkStart w:id="1" w:name="ezdAutorWydzialNazwa"/>
                          <w:r w:rsidRPr="008D13CF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>Biuro Administracyjno - Finansowe</w:t>
                          </w:r>
                          <w:bookmarkEnd w:id="1"/>
                          <w:r w:rsidRPr="008D13CF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122E30" id="Prostokąt 15" o:spid="_x0000_s1026" style="position:absolute;margin-left:0;margin-top:45.1pt;width:524.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" fillcolor="#042b60" stroked="f">
              <v:textbox>
                <w:txbxContent>
                  <w:p w14:paraId="53688504" w14:textId="77777777" w:rsidR="008E531F" w:rsidRPr="008D13CF" w:rsidRDefault="00FE5794" w:rsidP="000702AF">
                    <w:pPr>
                      <w:shd w:val="clear" w:color="auto" w:fill="042B60"/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  <w:bookmarkStart w:id="2" w:name="ezdAutorWydzialNazwa"/>
                    <w:r w:rsidRPr="008D13CF"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>Biuro Administracyjno - Finansowe</w:t>
                    </w:r>
                    <w:bookmarkEnd w:id="2"/>
                    <w:r w:rsidRPr="008D13CF"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 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852"/>
    <w:multiLevelType w:val="hybridMultilevel"/>
    <w:tmpl w:val="8F9E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7A2F"/>
    <w:multiLevelType w:val="hybridMultilevel"/>
    <w:tmpl w:val="6F742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843ACE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501D"/>
    <w:multiLevelType w:val="hybridMultilevel"/>
    <w:tmpl w:val="ADF659E2"/>
    <w:lvl w:ilvl="0" w:tplc="A4EEC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10290"/>
    <w:multiLevelType w:val="hybridMultilevel"/>
    <w:tmpl w:val="1F04569A"/>
    <w:lvl w:ilvl="0" w:tplc="EB1C24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B2BE2"/>
    <w:multiLevelType w:val="hybridMultilevel"/>
    <w:tmpl w:val="F1BE9216"/>
    <w:lvl w:ilvl="0" w:tplc="8D5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B0AF7"/>
    <w:multiLevelType w:val="hybridMultilevel"/>
    <w:tmpl w:val="5E1E14D6"/>
    <w:lvl w:ilvl="0" w:tplc="C960DD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A1C538A">
      <w:start w:val="1"/>
      <w:numFmt w:val="lowerLetter"/>
      <w:lvlText w:val="%2."/>
      <w:lvlJc w:val="left"/>
      <w:pPr>
        <w:ind w:left="1080" w:hanging="360"/>
      </w:pPr>
    </w:lvl>
    <w:lvl w:ilvl="2" w:tplc="51661E0C">
      <w:start w:val="1"/>
      <w:numFmt w:val="lowerRoman"/>
      <w:lvlText w:val="%3."/>
      <w:lvlJc w:val="right"/>
      <w:pPr>
        <w:ind w:left="1800" w:hanging="180"/>
      </w:pPr>
    </w:lvl>
    <w:lvl w:ilvl="3" w:tplc="3176D970">
      <w:start w:val="1"/>
      <w:numFmt w:val="decimal"/>
      <w:lvlText w:val="%4."/>
      <w:lvlJc w:val="left"/>
      <w:pPr>
        <w:ind w:left="2520" w:hanging="360"/>
      </w:pPr>
    </w:lvl>
    <w:lvl w:ilvl="4" w:tplc="3F2AAEB2">
      <w:start w:val="1"/>
      <w:numFmt w:val="lowerLetter"/>
      <w:lvlText w:val="%5."/>
      <w:lvlJc w:val="left"/>
      <w:pPr>
        <w:ind w:left="3240" w:hanging="360"/>
      </w:pPr>
    </w:lvl>
    <w:lvl w:ilvl="5" w:tplc="6472F134">
      <w:start w:val="1"/>
      <w:numFmt w:val="lowerRoman"/>
      <w:lvlText w:val="%6."/>
      <w:lvlJc w:val="right"/>
      <w:pPr>
        <w:ind w:left="3960" w:hanging="180"/>
      </w:pPr>
    </w:lvl>
    <w:lvl w:ilvl="6" w:tplc="0F267D74">
      <w:start w:val="1"/>
      <w:numFmt w:val="decimal"/>
      <w:lvlText w:val="%7."/>
      <w:lvlJc w:val="left"/>
      <w:pPr>
        <w:ind w:left="4680" w:hanging="360"/>
      </w:pPr>
    </w:lvl>
    <w:lvl w:ilvl="7" w:tplc="52422C1E">
      <w:start w:val="1"/>
      <w:numFmt w:val="lowerLetter"/>
      <w:lvlText w:val="%8."/>
      <w:lvlJc w:val="left"/>
      <w:pPr>
        <w:ind w:left="5400" w:hanging="360"/>
      </w:pPr>
    </w:lvl>
    <w:lvl w:ilvl="8" w:tplc="DADE213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773D7"/>
    <w:multiLevelType w:val="multilevel"/>
    <w:tmpl w:val="A4607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2160" w:hanging="720"/>
      </w:pPr>
      <w:rPr>
        <w:rFonts w:asciiTheme="minorHAnsi" w:eastAsia="Times New Roman" w:hAnsiTheme="minorHAnsi" w:cs="Calibri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 w15:restartNumberingAfterBreak="0">
    <w:nsid w:val="619A119F"/>
    <w:multiLevelType w:val="multilevel"/>
    <w:tmpl w:val="8FC29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ajorHAnsi" w:hAnsiTheme="maj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AF607E2"/>
    <w:multiLevelType w:val="hybridMultilevel"/>
    <w:tmpl w:val="194C0102"/>
    <w:lvl w:ilvl="0" w:tplc="F9027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76E970" w:tentative="1">
      <w:start w:val="1"/>
      <w:numFmt w:val="lowerLetter"/>
      <w:lvlText w:val="%2."/>
      <w:lvlJc w:val="left"/>
      <w:pPr>
        <w:ind w:left="1080" w:hanging="360"/>
      </w:pPr>
    </w:lvl>
    <w:lvl w:ilvl="2" w:tplc="11B235D4" w:tentative="1">
      <w:start w:val="1"/>
      <w:numFmt w:val="lowerRoman"/>
      <w:lvlText w:val="%3."/>
      <w:lvlJc w:val="right"/>
      <w:pPr>
        <w:ind w:left="1800" w:hanging="180"/>
      </w:pPr>
    </w:lvl>
    <w:lvl w:ilvl="3" w:tplc="5024C70A" w:tentative="1">
      <w:start w:val="1"/>
      <w:numFmt w:val="decimal"/>
      <w:lvlText w:val="%4."/>
      <w:lvlJc w:val="left"/>
      <w:pPr>
        <w:ind w:left="2520" w:hanging="360"/>
      </w:pPr>
    </w:lvl>
    <w:lvl w:ilvl="4" w:tplc="57D0368E" w:tentative="1">
      <w:start w:val="1"/>
      <w:numFmt w:val="lowerLetter"/>
      <w:lvlText w:val="%5."/>
      <w:lvlJc w:val="left"/>
      <w:pPr>
        <w:ind w:left="3240" w:hanging="360"/>
      </w:pPr>
    </w:lvl>
    <w:lvl w:ilvl="5" w:tplc="67C44F06" w:tentative="1">
      <w:start w:val="1"/>
      <w:numFmt w:val="lowerRoman"/>
      <w:lvlText w:val="%6."/>
      <w:lvlJc w:val="right"/>
      <w:pPr>
        <w:ind w:left="3960" w:hanging="180"/>
      </w:pPr>
    </w:lvl>
    <w:lvl w:ilvl="6" w:tplc="F3B0366A" w:tentative="1">
      <w:start w:val="1"/>
      <w:numFmt w:val="decimal"/>
      <w:lvlText w:val="%7."/>
      <w:lvlJc w:val="left"/>
      <w:pPr>
        <w:ind w:left="4680" w:hanging="360"/>
      </w:pPr>
    </w:lvl>
    <w:lvl w:ilvl="7" w:tplc="E3CCAF3A" w:tentative="1">
      <w:start w:val="1"/>
      <w:numFmt w:val="lowerLetter"/>
      <w:lvlText w:val="%8."/>
      <w:lvlJc w:val="left"/>
      <w:pPr>
        <w:ind w:left="5400" w:hanging="360"/>
      </w:pPr>
    </w:lvl>
    <w:lvl w:ilvl="8" w:tplc="AECC6F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7081B"/>
    <w:multiLevelType w:val="hybridMultilevel"/>
    <w:tmpl w:val="B31225D6"/>
    <w:lvl w:ilvl="0" w:tplc="73865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7E"/>
    <w:rsid w:val="000E33BC"/>
    <w:rsid w:val="00176296"/>
    <w:rsid w:val="001A72C2"/>
    <w:rsid w:val="001E2E9B"/>
    <w:rsid w:val="00321C3F"/>
    <w:rsid w:val="0033470C"/>
    <w:rsid w:val="003B537E"/>
    <w:rsid w:val="00502021"/>
    <w:rsid w:val="006319B5"/>
    <w:rsid w:val="006433F7"/>
    <w:rsid w:val="00774ED7"/>
    <w:rsid w:val="007938DA"/>
    <w:rsid w:val="007E008F"/>
    <w:rsid w:val="007E6813"/>
    <w:rsid w:val="008E45D3"/>
    <w:rsid w:val="00914B60"/>
    <w:rsid w:val="00AA7CA5"/>
    <w:rsid w:val="00AD580A"/>
    <w:rsid w:val="00AE5A4B"/>
    <w:rsid w:val="00D540E7"/>
    <w:rsid w:val="00D66200"/>
    <w:rsid w:val="00DA34DC"/>
    <w:rsid w:val="00DD5452"/>
    <w:rsid w:val="00EC7CB1"/>
    <w:rsid w:val="00FC7CD9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57AE"/>
  <w15:docId w15:val="{1F8C0373-93A8-494D-968F-FDDF21AD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,Wypunktowanie"/>
    <w:basedOn w:val="Normalny"/>
    <w:link w:val="AkapitzlistZnak"/>
    <w:uiPriority w:val="34"/>
    <w:qFormat/>
    <w:rsid w:val="00FC7CD9"/>
    <w:pPr>
      <w:ind w:left="708"/>
    </w:pPr>
    <w:rPr>
      <w:rFonts w:eastAsia="Times New Roman" w:cs="Calibri"/>
      <w:sz w:val="22"/>
      <w:szCs w:val="22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"/>
    <w:link w:val="Akapitzlist"/>
    <w:uiPriority w:val="34"/>
    <w:locked/>
    <w:rsid w:val="00FC7CD9"/>
    <w:rPr>
      <w:rFonts w:eastAsia="Times New Roman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6E27E-6A45-44C6-9C12-F6EBEFF4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0</TotalTime>
  <Pages>3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Mateusz Gorta-Busz</cp:lastModifiedBy>
  <cp:revision>2</cp:revision>
  <cp:lastPrinted>2017-01-12T08:53:00Z</cp:lastPrinted>
  <dcterms:created xsi:type="dcterms:W3CDTF">2017-12-14T11:57:00Z</dcterms:created>
  <dcterms:modified xsi:type="dcterms:W3CDTF">2017-12-14T11:57:00Z</dcterms:modified>
</cp:coreProperties>
</file>